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Финансы и кредит (опорный конспект).</w:t>
      </w:r>
      <w:r>
        <w:rPr>
          <w:color w:val="000000"/>
          <w:position w:val="0"/>
          <w:sz w:val="24"/>
          <w:szCs w:val="24"/>
          <w:rFonts w:ascii="굴림" w:eastAsia="굴림" w:hAnsi="굴림" w:hint="default"/>
        </w:rPr>
        <w:br/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1. НЕОБХОДИМОСТЬ ФИНАНСОВ И ПРЕДПОСЫЛКИ ИХ ВОЗНИКНОВЕНИЯ</w:t>
      </w:r>
      <w:r>
        <w:rPr>
          <w:color w:val="000000"/>
          <w:position w:val="0"/>
          <w:sz w:val="24"/>
          <w:szCs w:val="24"/>
          <w:rFonts w:ascii="굴림" w:eastAsia="굴림" w:hAnsi="굴림" w:hint="default"/>
        </w:rPr>
        <w:br/>
      </w:r>
      <w:r>
        <w:rPr>
          <w:color w:val="000000"/>
          <w:position w:val="0"/>
          <w:sz w:val="24"/>
          <w:szCs w:val="24"/>
          <w:rFonts w:ascii="굴림" w:eastAsia="굴림" w:hAnsi="굴림" w:hint="default"/>
        </w:rPr>
        <w:br/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В рамках экономической системы товарно-денежные отношения выступают основной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причиной возникновения и развития всей совокупности стоимостных экономических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категорий.Определенное место в системе стоимостных экономических категорий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занимают финансы.Хозяйственные процессы в условиях товарно-денежных отношений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невозможны без распределительных процессов. Распределение является одной из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стадий воспроизводственного процесса, без которой не могут осуществляться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другие стадии, т. е. производство, обмен и потребление. Очевидно, что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производство невозможно без создания денежных фондов, служащих основой для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удовлетворения различных хозяйственных нужд. Эти денежные фонды создаются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посредством финансов на стадии распределения, причем они впоследствии на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стадии обмена приобретают натуральную форму, так как созданные денежные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фонды в стоимостной форме расходуются на приобретение товаров, потребительных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стоимостей.Таким образом, можно сказать, что финансы объективно необходимы,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так как их существование обусловлено потребностями обменного развития. Знания о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финансах важны на различных уровнях – начиная от домашних хозяйств и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предприятий и заканчивая государством. Именно на основе знания этой науки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можно построить семейный бюджет, оптимизировать уплату подоходного налога,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эффективно вложить средства в ценные бумаги и т. п. Без финансов невозможен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кругооборот фондов на предприятиях, стимулирование производства, анализ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экономической деятельности и отчетности.Рациональная организация финансов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играет важную роль в деятельности государства, которое на базе создания с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помощью финансов денежных фондов осуществляет свои функции. Государство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может активно влиять на развитие финансовых отношений, в свою очередь, от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правильной организации финансов зависит во многом экономическое развитие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государства.Предпосылки возникновения финансов:– отторжение главы государства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от казны и возникновение централизованного общегосударственного фонда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денежных средств – государственного бюджета, распоряжение которым уже не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может осуществлять единолично глава государства;– возникновение системы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государственных доходов и расходов, законодательное закрепление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государственного бюджета как росписи доходов и расходов государства;– переход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от натуральных податей и трудовых повинностей к сбору налогов в денежной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форме;– возникновение кругооборота стоимости в форме товарно-материальных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ценностей и денег и образован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ие доходов и накоплений у участников воспроизводственного процесса сверх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пределов биологического выживания.Принципиально важным для появления финансов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является высокий уровень развития денежного хозяйства, постоянный оборот денег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в больших размерах, завершившееся формирование и использование основных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функций денег.Вышеназванные обстоятельства способствовали скорейшему развитию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финансов, в первую очередь государственного бюджета как центрального звена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финансовой системы. На первом этапе своего развития финансовые отношения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приравнивались к бюджетным отношениям, и лишь впоследствии, по мере развития </w:t>
      </w:r>
      <w:r>
        <w:rPr>
          <w:i w:val="0"/>
          <w:b w:val="0"/>
          <w:color w:val="000000"/>
          <w:position w:val="0"/>
          <w:sz w:val="19"/>
          <w:szCs w:val="19"/>
          <w:shd w:val="clear" w:fill="FFFFFF"/>
          <w:rFonts w:ascii="-apple-system" w:eastAsia="-apple-system" w:hAnsi="-apple-system" w:hint="default"/>
        </w:rPr>
        <w:t xml:space="preserve">товарно-денежных отношений, возникли новые формы финансовых отношений.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-apple-syste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1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pBdr>
        <w:top w:val="single" w:sz="1" w:space="10" w:color="5B9BD5"/>
        <w:bottom w:val="single" w:sz="1" w:space="10" w:color="5B9BD5"/>
      </w:pBd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0"/>
      <w:szCs w:val="20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0"/>
      <w:szCs w:val="20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0"/>
      <w:szCs w:val="20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0"/>
      <w:szCs w:val="20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0"/>
      <w:szCs w:val="20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0"/>
      <w:szCs w:val="20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0"/>
      <w:szCs w:val="20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0"/>
      <w:szCs w:val="20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363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Березовский Владислав</dc:creator>
  <cp:lastModifiedBy/>
</cp:coreProperties>
</file>